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70F" w:rsidP="00FF570F" w:rsidRDefault="00AC0A2E" w14:paraId="254E601E" w14:textId="77777777">
      <w:pPr>
        <w:rPr>
          <w:sz w:val="16"/>
        </w:rPr>
      </w:pPr>
      <w:r>
        <w:rPr>
          <w:rFonts w:ascii="Arial" w:hAnsi="Arial" w:eastAsia="Times New Roman" w:cs="Times New Roman"/>
          <w:b/>
          <w:bCs/>
          <w:noProof/>
          <w:color w:val="385623" w:themeColor="accent6" w:themeShade="80"/>
          <w:sz w:val="44"/>
          <w:szCs w:val="44"/>
        </w:rPr>
        <w:drawing>
          <wp:anchor distT="0" distB="0" distL="114300" distR="114300" simplePos="0" relativeHeight="251660288" behindDoc="0" locked="0" layoutInCell="1" allowOverlap="1" wp14:editId="4D8A3734" wp14:anchorId="468DEB57">
            <wp:simplePos x="0" y="0"/>
            <wp:positionH relativeFrom="column">
              <wp:posOffset>5988050</wp:posOffset>
            </wp:positionH>
            <wp:positionV relativeFrom="paragraph">
              <wp:posOffset>228600</wp:posOffset>
            </wp:positionV>
            <wp:extent cx="3114675" cy="432435"/>
            <wp:effectExtent l="0" t="0" r="9525" b="5715"/>
            <wp:wrapTopAndBottom/>
            <wp:docPr id="2" name="Рисунок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70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7A3CD6C7" wp14:anchorId="4A74B47C">
                <wp:simplePos x="0" y="0"/>
                <wp:positionH relativeFrom="column">
                  <wp:posOffset>5772150</wp:posOffset>
                </wp:positionH>
                <wp:positionV relativeFrom="paragraph">
                  <wp:posOffset>9525</wp:posOffset>
                </wp:positionV>
                <wp:extent cx="2019300" cy="4953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0F" w:rsidP="00FF570F" w:rsidRDefault="00FF570F" w14:paraId="0B08996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A74B47C">
                <v:stroke joinstyle="miter"/>
                <v:path gradientshapeok="t" o:connecttype="rect"/>
              </v:shapetype>
              <v:shape id="Zone de texte 2" style="position:absolute;margin-left:454.5pt;margin-top:.75pt;width:159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">
                <v:textbox>
                  <w:txbxContent>
                    <w:p w:rsidR="00FF570F" w:rsidP="00FF570F" w:rsidRDefault="00FF570F" w14:paraId="0B08996A" w14:textId="777777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Pr="00FF4B71" w:rsidR="00F713B8" w:rsidP="00AC0A2E" w:rsidRDefault="00FF4B71" w14:paraId="4ACA1A04" w14:textId="77777777">
      <w:pPr>
        <w:bidi w:val="false"/>
        <w:ind w:left="1440"/>
        <w:rPr>
          <w:rFonts w:ascii="Arial" w:hAnsi="Arial" w:eastAsia="Times New Roman" w:cs="Times New Roman"/>
          <w:b/>
          <w:bCs/>
          <w:color w:val="385623" w:themeColor="accent6" w:themeShade="80"/>
          <w:sz w:val="44"/>
          <w:szCs w:val="44"/>
        </w:rPr>
      </w:pPr>
      <w:r w:rsidRPr="00FF4B71">
        <w:rPr>
          <w:rFonts w:ascii="Arial" w:hAnsi="Arial" w:eastAsia="Times New Roman" w:cs="Times New Roman"/>
          <w:b/>
          <w:color w:val="385623" w:themeColor="accent6" w:themeShade="80"/>
          <w:sz w:val="44"/>
          <w:szCs w:val="44"/>
          <w:lang w:val="es"/>
        </w:rPr>
        <w:t>ANÁLISIS DAFO CON RESUMEN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Pr="00FF4B71" w:rsidR="00FF4B71" w:rsidTr="00FF4B71" w14:paraId="43BC0B19" w14:textId="77777777">
        <w:trPr>
          <w:trHeight w:val="360"/>
        </w:trPr>
        <w:tc>
          <w:tcPr>
            <w:tcW w:w="14400" w:type="dxa"/>
            <w:gridSpan w:val="2"/>
            <w:tcBorders>
              <w:top w:val="single" w:color="C9D2BD" w:sz="8" w:space="0"/>
              <w:left w:val="single" w:color="C9D2BD" w:sz="8" w:space="0"/>
              <w:bottom w:val="single" w:color="C9D2BD" w:sz="4" w:space="0"/>
              <w:right w:val="single" w:color="C9D2BD" w:sz="8" w:space="0"/>
            </w:tcBorders>
            <w:shd w:val="clear" w:color="000000" w:fill="546242"/>
            <w:vAlign w:val="center"/>
            <w:hideMark/>
          </w:tcPr>
          <w:p w:rsidRPr="00FF4B71" w:rsidR="00FF4B71" w:rsidP="00FF4B71" w:rsidRDefault="00FF4B71" w14:paraId="4654F15B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es"/>
              </w:rPr>
              <w:t>FACTORES INTERNOS</w:t>
            </w:r>
          </w:p>
        </w:tc>
      </w:tr>
      <w:tr w:rsidRPr="00FF4B71" w:rsidR="00FF4B71" w:rsidTr="00FF4B71" w14:paraId="35EC2056" w14:textId="77777777">
        <w:trPr>
          <w:trHeight w:val="360"/>
        </w:trPr>
        <w:tc>
          <w:tcPr>
            <w:tcW w:w="7200" w:type="dxa"/>
            <w:tcBorders>
              <w:top w:val="nil"/>
              <w:left w:val="single" w:color="C9D2BD" w:sz="8" w:space="0"/>
              <w:bottom w:val="single" w:color="C9D2BD" w:sz="4" w:space="0"/>
              <w:right w:val="single" w:color="C9D2BD" w:sz="4" w:space="0"/>
            </w:tcBorders>
            <w:shd w:val="clear" w:color="000000" w:fill="7C9263"/>
            <w:vAlign w:val="center"/>
            <w:hideMark/>
          </w:tcPr>
          <w:p w:rsidRPr="00FF4B71" w:rsidR="00FF4B71" w:rsidP="00FF4B71" w:rsidRDefault="00FF4B71" w14:paraId="20028C29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es"/>
              </w:rPr>
              <w:t>FORTALEZAS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C9D2BD" w:sz="4" w:space="0"/>
              <w:right w:val="single" w:color="C9D2BD" w:sz="8" w:space="0"/>
            </w:tcBorders>
            <w:shd w:val="clear" w:color="000000" w:fill="A5B592"/>
            <w:vAlign w:val="center"/>
            <w:hideMark/>
          </w:tcPr>
          <w:p w:rsidRPr="00FF4B71" w:rsidR="00FF4B71" w:rsidP="00FF4B71" w:rsidRDefault="00FF4B71" w14:paraId="1CC7BEB6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es"/>
              </w:rPr>
              <w:t>DEBILIDADES (-)</w:t>
            </w:r>
          </w:p>
        </w:tc>
      </w:tr>
      <w:tr w:rsidRPr="00FF4B71" w:rsidR="00FF4B71" w:rsidTr="00FF570F" w14:paraId="006B6AD8" w14:textId="77777777">
        <w:trPr>
          <w:trHeight w:val="2600"/>
        </w:trPr>
        <w:tc>
          <w:tcPr>
            <w:tcW w:w="7200" w:type="dxa"/>
            <w:tcBorders>
              <w:top w:val="nil"/>
              <w:left w:val="single" w:color="C9D2BD" w:sz="8" w:space="0"/>
              <w:bottom w:val="single" w:color="C9D2BD" w:sz="8" w:space="0"/>
              <w:right w:val="single" w:color="C9D2BD" w:sz="4" w:space="0"/>
            </w:tcBorders>
            <w:shd w:val="clear" w:color="auto" w:fill="auto"/>
            <w:hideMark/>
          </w:tcPr>
          <w:p w:rsidR="00FF4B71" w:rsidP="00FF4B71" w:rsidRDefault="00FF4B71" w14:paraId="3EA16360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506E3570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C9D2BD" w:sz="8" w:space="0"/>
              <w:right w:val="single" w:color="C9D2BD" w:sz="8" w:space="0"/>
            </w:tcBorders>
            <w:shd w:val="clear" w:color="auto" w:fill="auto"/>
            <w:hideMark/>
          </w:tcPr>
          <w:p w:rsidR="00FF4B71" w:rsidP="00FF4B71" w:rsidRDefault="00FF4B71" w14:paraId="2F04E22E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6965C60A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F4B71" w:rsidR="00FF4B71" w:rsidTr="00FF4B71" w14:paraId="518B142B" w14:textId="77777777">
        <w:trPr>
          <w:trHeight w:val="16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33EE8197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5FEE3C4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4B71" w:rsidR="00FF4B71" w:rsidTr="00FF4B71" w14:paraId="722A6625" w14:textId="77777777">
        <w:trPr>
          <w:trHeight w:val="360"/>
        </w:trPr>
        <w:tc>
          <w:tcPr>
            <w:tcW w:w="14400" w:type="dxa"/>
            <w:gridSpan w:val="2"/>
            <w:tcBorders>
              <w:top w:val="single" w:color="F8C98F" w:sz="8" w:space="0"/>
              <w:left w:val="single" w:color="F8C98F" w:sz="8" w:space="0"/>
              <w:bottom w:val="single" w:color="F8C98F" w:sz="4" w:space="0"/>
              <w:right w:val="single" w:color="F8C98F" w:sz="8" w:space="0"/>
            </w:tcBorders>
            <w:shd w:val="clear" w:color="000000" w:fill="94560A"/>
            <w:vAlign w:val="center"/>
            <w:hideMark/>
          </w:tcPr>
          <w:p w:rsidRPr="00FF4B71" w:rsidR="00FF4B71" w:rsidP="00FF4B71" w:rsidRDefault="00FF4B71" w14:paraId="5F91A9C2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es"/>
              </w:rPr>
              <w:t>FACTORES EXTERNOS</w:t>
            </w:r>
          </w:p>
        </w:tc>
      </w:tr>
      <w:tr w:rsidRPr="00FF4B71" w:rsidR="00FF4B71" w:rsidTr="00FF4B71" w14:paraId="072A328E" w14:textId="77777777">
        <w:trPr>
          <w:trHeight w:val="360"/>
        </w:trPr>
        <w:tc>
          <w:tcPr>
            <w:tcW w:w="7200" w:type="dxa"/>
            <w:tcBorders>
              <w:top w:val="nil"/>
              <w:left w:val="single" w:color="F8C98F" w:sz="8" w:space="0"/>
              <w:bottom w:val="single" w:color="F8C98F" w:sz="4" w:space="0"/>
              <w:right w:val="single" w:color="F8C98F" w:sz="4" w:space="0"/>
            </w:tcBorders>
            <w:shd w:val="clear" w:color="000000" w:fill="DE810E"/>
            <w:vAlign w:val="center"/>
            <w:hideMark/>
          </w:tcPr>
          <w:p w:rsidRPr="00FF4B71" w:rsidR="00FF4B71" w:rsidP="00FF4B71" w:rsidRDefault="00FF4B71" w14:paraId="5F9D7E25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es"/>
              </w:rPr>
              <w:t>OPORTUNIDADES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F8C98F" w:sz="4" w:space="0"/>
              <w:right w:val="single" w:color="F8C98F" w:sz="8" w:space="0"/>
            </w:tcBorders>
            <w:shd w:val="clear" w:color="000000" w:fill="F3A447"/>
            <w:vAlign w:val="center"/>
            <w:hideMark/>
          </w:tcPr>
          <w:p w:rsidRPr="00FF4B71" w:rsidR="00FF4B71" w:rsidP="00FF4B71" w:rsidRDefault="00FF4B71" w14:paraId="37FD3014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es"/>
              </w:rPr>
              <w:t>AMENAZAS (-)</w:t>
            </w:r>
          </w:p>
        </w:tc>
      </w:tr>
      <w:tr w:rsidRPr="00FF4B71" w:rsidR="00FF4B71" w:rsidTr="00FF570F" w14:paraId="784ECC29" w14:textId="77777777">
        <w:trPr>
          <w:trHeight w:val="2492"/>
        </w:trPr>
        <w:tc>
          <w:tcPr>
            <w:tcW w:w="7200" w:type="dxa"/>
            <w:tcBorders>
              <w:top w:val="nil"/>
              <w:left w:val="single" w:color="F8C98F" w:sz="8" w:space="0"/>
              <w:bottom w:val="single" w:color="F8C98F" w:sz="8" w:space="0"/>
              <w:right w:val="single" w:color="F8C98F" w:sz="4" w:space="0"/>
            </w:tcBorders>
            <w:shd w:val="clear" w:color="auto" w:fill="auto"/>
            <w:hideMark/>
          </w:tcPr>
          <w:p w:rsidR="00FF4B71" w:rsidP="00FF4B71" w:rsidRDefault="00FF4B71" w14:paraId="78E22968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175B60FC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F8C98F" w:sz="8" w:space="0"/>
              <w:right w:val="single" w:color="F8C98F" w:sz="8" w:space="0"/>
            </w:tcBorders>
            <w:shd w:val="clear" w:color="auto" w:fill="auto"/>
            <w:hideMark/>
          </w:tcPr>
          <w:p w:rsidR="00FF4B71" w:rsidP="00FF4B71" w:rsidRDefault="00FF4B71" w14:paraId="27A47419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6B06A0AC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F4B71" w:rsidR="00FF4B71" w:rsidTr="00FF4B71" w14:paraId="15C39F06" w14:textId="77777777">
        <w:trPr>
          <w:trHeight w:val="16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01FB2D78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1C0C0FB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4B71" w:rsidR="00FF4B71" w:rsidTr="00FF4B71" w14:paraId="1B67E0EF" w14:textId="77777777">
        <w:trPr>
          <w:trHeight w:val="360"/>
        </w:trPr>
        <w:tc>
          <w:tcPr>
            <w:tcW w:w="14400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4" w:space="0"/>
              <w:right w:val="single" w:color="808080" w:sz="8" w:space="0"/>
            </w:tcBorders>
            <w:shd w:val="clear" w:color="000000" w:fill="595959"/>
            <w:vAlign w:val="center"/>
            <w:hideMark/>
          </w:tcPr>
          <w:p w:rsidRPr="00FF4B71" w:rsidR="00FF4B71" w:rsidP="00FF4B71" w:rsidRDefault="00FF4B71" w14:paraId="0CB874DC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es"/>
              </w:rPr>
              <w:t>RESUMEN DEL ANÁLISIS</w:t>
            </w:r>
          </w:p>
        </w:tc>
      </w:tr>
      <w:tr w:rsidRPr="00FF4B71" w:rsidR="00FF4B71" w:rsidTr="00FF4B71" w14:paraId="360F481E" w14:textId="77777777">
        <w:trPr>
          <w:trHeight w:val="1772"/>
        </w:trPr>
        <w:tc>
          <w:tcPr>
            <w:tcW w:w="14400" w:type="dxa"/>
            <w:gridSpan w:val="2"/>
            <w:tcBorders>
              <w:top w:val="single" w:color="808080" w:sz="4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auto"/>
            <w:hideMark/>
          </w:tcPr>
          <w:p w:rsidR="00FF4B71" w:rsidP="00FF4B71" w:rsidRDefault="00FF4B71" w14:paraId="7B2CEF76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05EB7C61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C0A2E" w:rsidP="00FF4B71" w:rsidRDefault="00AC0A2E" w14:paraId="034E6731" w14:textId="77777777"/>
    <w:p w:rsidRPr="00FF18F5" w:rsidR="00AC0A2E" w:rsidP="00AC0A2E" w:rsidRDefault="00AC0A2E" w14:paraId="71D9706E" w14:textId="77777777">
      <w:pPr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FF18F5">
        <w:rPr>
          <w:rFonts w:ascii="Century Gothic" w:hAnsi="Century Gothic" w:cs="Arial"/>
          <w:b/>
          <w:sz w:val="20"/>
          <w:szCs w:val="20"/>
          <w:lang w:val="es"/>
        </w:rPr>
        <w:lastRenderedPageBreak/>
        <w:t>RENUNCIA</w:t>
      </w:r>
    </w:p>
    <w:p w:rsidRPr="00FF18F5" w:rsidR="00AC0A2E" w:rsidP="00AC0A2E" w:rsidRDefault="00AC0A2E" w14:paraId="3DBB1D8E" w14:textId="77777777">
      <w:pPr>
        <w:rPr>
          <w:rFonts w:ascii="Century Gothic" w:hAnsi="Century Gothic" w:cs="Arial"/>
          <w:szCs w:val="20"/>
        </w:rPr>
      </w:pPr>
    </w:p>
    <w:p w:rsidR="00AC0A2E" w:rsidP="00AC0A2E" w:rsidRDefault="00AC0A2E" w14:paraId="4E69A93A" w14:textId="77777777">
      <w:r w:rsidRPr="00FF18F5">
        <w:rPr>
          <w:rFonts w:ascii="Century Gothic" w:hAnsi="Century Gothic" w:cs="Arial"/>
          <w:szCs w:val="20"/>
          <w:lang w:val="es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sectPr w:rsidR="00AC0A2E" w:rsidSect="00FF570F">
      <w:pgSz w:w="15840" w:h="12240" w:orient="landscape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B7"/>
    <w:rsid w:val="0014640F"/>
    <w:rsid w:val="002849D4"/>
    <w:rsid w:val="00387D49"/>
    <w:rsid w:val="00456F40"/>
    <w:rsid w:val="00471C74"/>
    <w:rsid w:val="004937B7"/>
    <w:rsid w:val="007312B7"/>
    <w:rsid w:val="00A951BD"/>
    <w:rsid w:val="00AC0A2E"/>
    <w:rsid w:val="00CE18E9"/>
    <w:rsid w:val="00D637CF"/>
    <w:rsid w:val="00F713B8"/>
    <w:rsid w:val="00FF4B7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1CB2"/>
  <w15:chartTrackingRefBased/>
  <w15:docId w15:val="{8AA9D966-77D3-6D41-AC65-9EC66E50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7127&amp;utm_language=ES&amp;utm_source=integrated+content&amp;utm_campaign=/strategic-marketing-processes-and-planning&amp;utm_medium=ic+marketing+processes+swot+analysis+with+summary+27127+word+es&amp;lpa=ic+marketing+processes+swot+analysis+with+summary+27127+word+es&amp;lx=pQhW3PqqrwhJVef8td3gUgBAgeTPLDIL8TQRu558b7w" TargetMode="External"/><Relationship Id="rId4" Type="http://schemas.openxmlformats.org/officeDocument/2006/relationships/webSettings" Target="webSettings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flores/Desktop/Need%20to%20convert/IC-Marketing-Processes-SWOT-Analysis-With-Summary-894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F4C3-5124-46EE-9BAE-D3E19060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IC-Marketing-Processes-SWOT-Analysis-With-Summary-8942_WORD.dotx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Jason Flores</cp:lastModifiedBy>
  <cp:revision>1</cp:revision>
  <dcterms:created xsi:type="dcterms:W3CDTF">2021-12-22T19:49:00Z</dcterms:created>
  <dcterms:modified xsi:type="dcterms:W3CDTF">2021-12-22T19:49:00Z</dcterms:modified>
</cp:coreProperties>
</file>