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22869" w:rsidR="00477F9B" w:rsidP="00A03D60" w14:paraId="066FB2A8" w14:textId="60745CE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r w:rsidRPr="00AC25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>PLANTILLA DE MATRIZ DE EVALUACIÓN DE RIESGOS DE TI</w:t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ab/>
      </w:r>
      <w:r w:rsidR="00CF4D14">
        <w:rPr>
          <w:rFonts w:ascii="Century Gothic" w:hAnsi="Century Gothic" w:eastAsia="Times New Roman" w:cs="Arial"/>
          <w:b/>
          <w:noProof/>
          <w:color w:val="7F7F7F" w:themeColor="text1" w:themeTint="80"/>
          <w:sz w:val="20"/>
          <w:szCs w:val="20"/>
          <w:lang w:val="Spanish"/>
        </w:rPr>
        <w:drawing>
          <wp:inline distT="0" distB="0" distL="0" distR="0">
            <wp:extent cx="3114798" cy="432780"/>
            <wp:effectExtent l="0" t="0" r="0" b="5715"/>
            <wp:docPr id="2" name="Picture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2869" w:rsidR="008544A6" w:rsidP="00A03D60" w14:paraId="06257FD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Tr="00446B18" w14:paraId="6B04C316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7A741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67F8A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TIPO DE RIESGO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35F003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ACTIVO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3BD3A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DESCRIPCIÓN DEL RIESGO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D778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GRAVEDAD DEL RIESGO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0E0E990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110BCF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INTERNO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A2F18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EN EL USUARIO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BDAB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DETONANTE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713721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MITIGACIONES / ADVERTENCIAS / REMEDIOS</w:t>
            </w:r>
          </w:p>
        </w:tc>
      </w:tr>
      <w:tr w:rsidTr="00446B18" w14:paraId="1066DB0E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30BD0D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5FC02C2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14:paraId="6A6AD8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Spanish"/>
              </w:rPr>
              <w:t>EXTERNO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20002B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14:paraId="41812E7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ACEPTABLE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14:paraId="13DFD49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IMPROBABLE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0CEC2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BAJO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5BC2B4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MEDIO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579F3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31B10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1F3A2F09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14:paraId="54EE5D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77AB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14:paraId="1910DA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Spanish"/>
              </w:rPr>
              <w:t>INSIDER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69C69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14:paraId="299681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TOLERABLE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14:paraId="0DEE39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POSIBLE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07177C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MEDIO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2B17FC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ALTO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523F99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6CF21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3E7BFE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62B3C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3B202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14:paraId="2F26AB4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Spanish"/>
              </w:rPr>
              <w:t>INSIDER DE CONFIANZA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79861F6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14:paraId="296EC2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INDESEABLE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935ED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44DF6C7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ALTO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4A50D1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EXTREMO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98B4EE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05F9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FBE40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C1B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81E76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3ACE8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B6BB3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14:paraId="2DE0631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INTOLERABLE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445D3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55DA47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EXTREMO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31E825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BAJO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31FBBE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1B74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7ADCFD71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0BA127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4D62AD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5DB469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6D40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FAB50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7A3108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6312A3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672E6FF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7B89BE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6E6D86E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7380EED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0AF3DA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481DC2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8CD45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F4D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52B2ED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54E9F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444BE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7C56B1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4DBCF5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1FAE92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14:paraId="0CA1515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3B98B9C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02DAAD4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12FF419D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551"/>
      </w:tblGrid>
      <w:tr w:rsidTr="00477F9B" w14:paraId="27ABAD9F" w14:textId="77777777">
        <w:tblPrEx>
          <w:tblW w:w="14551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219"/>
        </w:trPr>
        <w:tc>
          <w:tcPr>
            <w:tcW w:w="14551" w:type="dxa"/>
          </w:tcPr>
          <w:p w:rsidRPr="008A7C4A" w:rsidR="00477F9B" w:rsidP="00674D8E" w14:paraId="6584D9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477F9B" w:rsidP="00674D8E" w14:paraId="348BCB6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14:paraId="720793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56954" w:rsidR="00477F9B" w:rsidP="00477F9B" w14:paraId="003077EB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14:paraId="5E752CF7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4"/>
    <w:rsid w:val="00005410"/>
    <w:rsid w:val="000102CA"/>
    <w:rsid w:val="000329B3"/>
    <w:rsid w:val="000707ED"/>
    <w:rsid w:val="00107566"/>
    <w:rsid w:val="00107A05"/>
    <w:rsid w:val="00165169"/>
    <w:rsid w:val="001B4ED8"/>
    <w:rsid w:val="00246934"/>
    <w:rsid w:val="0028063E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622869"/>
    <w:rsid w:val="0065609B"/>
    <w:rsid w:val="00674D8E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A7C4A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B4563"/>
    <w:rsid w:val="00CC7B6D"/>
    <w:rsid w:val="00CF4D14"/>
    <w:rsid w:val="00D059DF"/>
    <w:rsid w:val="00D06B25"/>
    <w:rsid w:val="00D16763"/>
    <w:rsid w:val="00D2517E"/>
    <w:rsid w:val="00D36FD0"/>
    <w:rsid w:val="00D52905"/>
    <w:rsid w:val="00D56954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679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35&amp;utm_language=ES&amp;utm_source=integrated+content&amp;utm_campaign=/risk-assessment-forms&amp;utm_medium=ic+it+risk+assessment+matrix+27335+word+es&amp;lpa=ic+it+risk+assessment+matrix+27335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D5D65D-AF8E-8347-B495-E20BA25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IC-IT-Risk-Assessment-Matrix-10878_WORD.dotx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2018-08-07T16:24:00Z</cp:lastPrinted>
  <dcterms:created xsi:type="dcterms:W3CDTF">2020-08-13T17:11:00Z</dcterms:created>
  <dcterms:modified xsi:type="dcterms:W3CDTF">2020-08-13T17:14:00Z</dcterms:modified>
</cp:coreProperties>
</file>